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БЕБЕНИНОЙ МАРИИ ВИКТОРОВНЫ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Современный подход к рассмотрению спортивной нагрузки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Краснодар 2017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935"/>
        <w:gridCol w:w="636"/>
      </w:tblGrid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ВВЕДЕНИЕ</w:t>
            </w: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ГЛАВА 1. </w:t>
            </w: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before="0" w:after="0" w:line="360"/>
              <w:ind w:right="0" w:left="720" w:hanging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понятия, классификация и компоненты соревновательных нагрузок…………………………………......................................4</w:t>
            </w:r>
          </w:p>
          <w:p>
            <w:pPr>
              <w:numPr>
                <w:ilvl w:val="0"/>
                <w:numId w:val="15"/>
              </w:numPr>
              <w:spacing w:before="0" w:after="0" w:line="360"/>
              <w:ind w:right="0" w:left="720" w:hanging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Оценка величины нагрузки и основные подходы 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рассмотрению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этой проблемы. ………………..………………………................7</w:t>
            </w:r>
          </w:p>
          <w:p>
            <w:pPr>
              <w:numPr>
                <w:ilvl w:val="0"/>
                <w:numId w:val="15"/>
              </w:numPr>
              <w:spacing w:before="0" w:after="0" w:line="360"/>
              <w:ind w:right="0" w:left="720" w:hanging="7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Проявление спортивной нагрузки в гандболе……..........................9</w:t>
            </w:r>
          </w:p>
          <w:p>
            <w:pPr>
              <w:spacing w:before="0" w:after="0" w:line="360"/>
              <w:ind w:right="0" w:left="4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ВЫВОДЫ</w:t>
            </w:r>
          </w:p>
          <w:p>
            <w:pPr>
              <w:spacing w:before="0" w:after="0" w:line="360"/>
              <w:ind w:right="0" w:left="45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ЛИТЕРАТУРА</w:t>
            </w:r>
          </w:p>
          <w:p>
            <w:pPr>
              <w:spacing w:before="0" w:after="0" w:line="360"/>
              <w:ind w:right="0" w:left="450" w:firstLine="0"/>
              <w:jc w:val="both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9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9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ВВЕДЕНИЕ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Актуальность.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Спортивная нагрузка в литературных источниках представлена рядом публикаций (Смирнова О.Б., Фомина Е.В., Шафикова Л.Р. и др.), которые зачастую совершенно по-разному подходят к рассмотрению одних и тех же вопросов. Это затрудняет обзор и трактовку тех или иных понятий, но в ряде случаев, наоборот, позволяет более широко взглянуть на некоторые предметы [10,8].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113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Проблема спортивной нагрузки находится в таком положении, когда, с одной стороны, уже накоплено большое количество фактического материала по отдельным вопросам и аспектам, и информация по ним продолжает лавинообразно нарастать, а с другой стороны, несмотря на наличие этого фактического материала, его все труднее становится систематизировать и обобщать, а, следовательно, и полноценно использовать в практике спортивной подготовки квалифицированных спортсменов [6,7,3].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всестороннее рассмотрение спортивной нагрузки и ее особенностей в гандболе.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Задачи исследования:</w:t>
      </w:r>
    </w:p>
    <w:p>
      <w:pPr>
        <w:numPr>
          <w:ilvl w:val="0"/>
          <w:numId w:val="37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представление об основных понятиях и компонентах спортивной нагрузки.</w:t>
      </w:r>
    </w:p>
    <w:p>
      <w:pPr>
        <w:numPr>
          <w:ilvl w:val="0"/>
          <w:numId w:val="37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Изучить особенности спортивной нагрузки в гандболе на основе литературных данных.</w:t>
      </w:r>
    </w:p>
    <w:p>
      <w:pPr>
        <w:numPr>
          <w:ilvl w:val="0"/>
          <w:numId w:val="37"/>
        </w:num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основные подходы, используемые специалистами при рассмотрении данной проблемы.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проведения исследования и реализации поставленных задач был использован следующий метод:</w:t>
      </w:r>
    </w:p>
    <w:p>
      <w:pPr>
        <w:numPr>
          <w:ilvl w:val="0"/>
          <w:numId w:val="39"/>
        </w:numPr>
        <w:spacing w:before="0" w:after="160" w:line="360"/>
        <w:ind w:right="0" w:left="720" w:firstLine="13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 анализа научно-методической литературы.</w:t>
      </w: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ГЛАВА 1</w:t>
      </w:r>
    </w:p>
    <w:p>
      <w:pPr>
        <w:numPr>
          <w:ilvl w:val="0"/>
          <w:numId w:val="41"/>
        </w:numPr>
        <w:spacing w:before="0" w:after="0" w:line="360"/>
        <w:ind w:right="0" w:left="810" w:hanging="45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Основные понятия, классификация и компоненты</w:t>
      </w:r>
    </w:p>
    <w:p>
      <w:pPr>
        <w:spacing w:before="0" w:after="0" w:line="259"/>
        <w:ind w:right="0" w:left="36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соревновательных нагрузок.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12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Анализ специальной литературы позволил выявить отсутствие единой трактовки при раскрытии содержательной стороны нагрузки. Так А. И. Кузнецов (1967) под нагрузкой предлагает понимать отношение объема проделанной работы к тренировочному времени. Пауль Кунат (1972), давая определение нагрузки, пишет, что это физическое и нервное напряжение, связанное с выполнением двигательных действий определенной мощности, частоты, длительности и плотности (интенсивности). И. Ю. Бондарчук (1988) считает, что под нагрузкой следует понимать, прежде всего, количественную меру воздействия физических упражнений. Причем, "нагрузка сопряжена и с расходованием рабочих потенциалов организма (энергетического, психологического) и с утомлением".</w:t>
      </w:r>
    </w:p>
    <w:p>
      <w:pPr>
        <w:spacing w:before="0" w:after="12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Под нагрузкой понимается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воздействие физических упражнений на организм спортсмена, вызывающее активную реакцию его функциональных систем (В.Н. Платонов, 1987).</w:t>
      </w:r>
    </w:p>
    <w:p>
      <w:pPr>
        <w:spacing w:before="0" w:after="12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Спортивная нагрузка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это интенсивная, часто максимальная нагрузка, связанная с выполнением соревновательной деятельности. Проблема изучения спортивной нагрузки является сложной потому, что при исследовании ее мы изучаем непосредственно самого человека, т. е. те процессы, которые протекают в организме при выполнении различных нагрузок.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Различают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внутреннюю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внешнюю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стороны нагрузки.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Внешняя сторона нагрузки состоит из суммарного V работы и интенсивности ее выполнения.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  V-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нагрузки (количественная сторона), может измеряться в часах, км, кол-ве упражнений и др.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Интенсивность (качественная сторона) характеризуется плотностью выполнения упр., темпе движений, скоростью преодоления дистанции.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Внутренняя сторона нагрузки. Наиболее верно нагрузка характеризуется 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внутренне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стороны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т.е. по реакции спортсмена на выполненную работу (по степени утомления). Так же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FFFFFF" w:val="clear"/>
        </w:rPr>
        <w:t xml:space="preserve">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 своему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характеру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нагрузки в спорте, подразделяются 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величине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восстановления 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малые (6ч.), средние (12-24 ч.), значительные (околопредельные) (24-48 ч.) и большие (предельные) (48-72 ч.)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10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современной классификации соревновательных нагрузок выделяют пять зон, имеющих определенные физиологические границы и педагогические критерии, широко распространенные в практике тренировки. Для квалифицированных спортсменов эти зоны имеют следующие характеристики представленные в таблице 1:</w:t>
      </w:r>
    </w:p>
    <w:p>
      <w:pPr>
        <w:spacing w:before="0" w:after="100" w:line="360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Таблица 1</w:t>
      </w:r>
    </w:p>
    <w:tbl>
      <w:tblPr/>
      <w:tblGrid>
        <w:gridCol w:w="1481"/>
        <w:gridCol w:w="2310"/>
        <w:gridCol w:w="1740"/>
        <w:gridCol w:w="1498"/>
        <w:gridCol w:w="1949"/>
        <w:gridCol w:w="1512"/>
      </w:tblGrid>
      <w:tr>
        <w:trPr>
          <w:trHeight w:val="1" w:hRule="atLeast"/>
          <w:jc w:val="left"/>
        </w:trPr>
        <w:tc>
          <w:tcPr>
            <w:tcW w:w="148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36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00" w:line="48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Показатели</w:t>
            </w:r>
          </w:p>
        </w:tc>
        <w:tc>
          <w:tcPr>
            <w:tcW w:w="900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Направленность</w:t>
            </w:r>
          </w:p>
        </w:tc>
      </w:tr>
      <w:tr>
        <w:trPr>
          <w:trHeight w:val="1" w:hRule="atLeast"/>
          <w:jc w:val="left"/>
        </w:trPr>
        <w:tc>
          <w:tcPr>
            <w:tcW w:w="148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Аэробная (восстановительная)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Аэробная (развивающая)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Смешанная</w:t>
            </w:r>
          </w:p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Аэробно-анаэробная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Анаэробно-гликолитическая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Анаэробно-алактатная</w:t>
            </w:r>
          </w:p>
        </w:tc>
      </w:tr>
      <w:tr>
        <w:trPr>
          <w:trHeight w:val="1" w:hRule="atLeast"/>
          <w:jc w:val="left"/>
        </w:trPr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ЧСС, уд./мин.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140-145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160-175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180-185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180-200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190-220</w:t>
            </w:r>
          </w:p>
        </w:tc>
      </w:tr>
      <w:tr>
        <w:trPr>
          <w:trHeight w:val="1" w:hRule="atLeast"/>
          <w:jc w:val="left"/>
        </w:trPr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Потребление кислорода от МПК. %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40-70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60-90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80-100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100-80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  <w:tr>
        <w:trPr>
          <w:trHeight w:val="1" w:hRule="atLeast"/>
          <w:jc w:val="left"/>
        </w:trPr>
        <w:tc>
          <w:tcPr>
            <w:tcW w:w="14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Лактат, ммоль/л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17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14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8-10</w:t>
            </w:r>
          </w:p>
        </w:tc>
        <w:tc>
          <w:tcPr>
            <w:tcW w:w="1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10-20</w:t>
            </w:r>
          </w:p>
        </w:tc>
        <w:tc>
          <w:tcPr>
            <w:tcW w:w="15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</w:p>
        </w:tc>
      </w:tr>
    </w:tbl>
    <w:p>
      <w:pPr>
        <w:spacing w:before="0" w:after="100" w:line="360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0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зона — аэробная восстановительная. Ближайший тренировочный эффект нагрузок этой зоны связан с повышением ЧСС до 140—145 уд./мин. Лактат в крови находится на уровне покоя и не превышает 2 ммоль/л. Потребление кислорода достигает 40—70% от МПК. Обеспечение энергией происходит за счет окислении жиров (50% и более), мышечного гликогена и глюкозы крови. Работа в этой зоне может выполняться от нескольких минут до нескольких часов. Она стимулирует восстановительные процессы, жировой обмен в организме совершенствует аэробные способности (общую выносливость). Объем работы в этой зоне в разных видах спорта составляет от 20 до 30%.</w:t>
      </w:r>
    </w:p>
    <w:p>
      <w:pPr>
        <w:spacing w:before="0" w:after="10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зона — аэробная развивающая. Ближний тренировочный эффект нагрузок этой зоны связан с повышением ЧСС до 160— 175 уд./мин. Лактат в крови до 4 ммоль/л, потребление кислорода 60—90% от МПК. Обеспечение энергией происходит за счет окисления углеводов (мышечного гликогена и глюкозы) и в меньшей степени жиров. Объем работы в этой зоне в разных видах спорта составляет от 40 до 80%.</w:t>
      </w:r>
    </w:p>
    <w:p>
      <w:pPr>
        <w:spacing w:before="0" w:after="10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зона — смешанная аэробно-анаэробная. Ближний тренировочный эффект нагрузок в этой зоне связан с повышением ЧСС до 180—185 уд./мин, лактат в крови до 8—10 ммоль/л, потребление кислорода 80—100% от МПК. Обеспечение энергией происходит преимущественно за счет окисления углеводов (гликогена и глюкозы). Соревновательная и тренировочная деятельность в непрерывном режиме в этой зоне может продолжаться до 1,5—2 ч.</w:t>
      </w:r>
    </w:p>
    <w:p>
      <w:pPr>
        <w:spacing w:before="0" w:after="10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зона — анаэробно-гликолитическая. Ближайший тренировочный эффект нагрузок этой зоны связан с повышением лактата в крови от 10 до 20 ммоль/л. ЧСС становится менее информативной и находится на уровне 180—200 уд./мин. Потребление кислорода постепенно снижается от 100 до 80% от МПК. Обеспечение энергией происходит за счет углеводов (как с участием кислорода, так и анаэробным путем). Соревновательная деятельность в этой зоне продолжается от 20 с до 6—10 мин. </w:t>
      </w:r>
    </w:p>
    <w:p>
      <w:pPr>
        <w:spacing w:before="0" w:after="10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зона — анаэробно-алактатная. Ближний тренировочный эффект не связан с показателями ЧСС и лактата, так как работа кратковременная и не превышает 15—20 с в одном повторении. Суммарная тренировочная деятельность в этой зоне не превышает 120—150 с за одно тренировочное занятие. Она стимулирует воспитание скоростных, скоростно-силовых, максимально-силовых способностей. </w:t>
      </w:r>
    </w:p>
    <w:p>
      <w:pPr>
        <w:spacing w:before="0" w:after="12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Соревновательная нагрузка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обуславливается следующими компонентами: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а) характером упражнений;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б) интенсивностью работы при их выполнении;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в) объемом (продолжительностью) работы;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г) продолжительностью и характером интервалов отдыха между отдельными упражнениями;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д) числом повторений.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Соотношения этих показателей в тренировочных нагрузках определяют величину и направленность их воздействия на организм спортсмена.</w:t>
      </w:r>
    </w:p>
    <w:p>
      <w:pPr>
        <w:spacing w:before="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Оценка величины нагрузки и основные подходы к рассмотрению этой проблемы.</w:t>
      </w:r>
    </w:p>
    <w:p>
      <w:pPr>
        <w:spacing w:before="0" w:after="12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Что касается оценки величины нагрузки, то и здесь нет единства в понимании этого вопроса. Многие авторы склонны оценивать величину нагрузки, основываясь на изменениях различных физиологических показателей: частота сердечных сокращений, потребление кислорода, уровень энерготрат, показатели утомления, качество выполнения физических упражнений и многие другие показатели (Г. И. Кукушкин, 1953; Н. П. Ерменко, 1956; В. 3. Нагорный, 1969; В. П. Филин, 1964; М. Я. Горкин, 1966; Н. Д. Синани, 1967; Ю. К. и мн. др.), но никто из них не пытается выделить основные компоненты физической нагрузки и тем более охарактеризовать их. Данный вопрос является исключительно важным, так как лишь зная основные компоненты или составляющие физической нагрузки, можно определить ее характер и величину. </w:t>
      </w:r>
    </w:p>
    <w:p>
      <w:pPr>
        <w:spacing w:before="0" w:after="12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Исследуя содержание спортивной нагрузки, ранее было выделено, что основными компонентами, определяющими ее, являются: двигательное действие, отдых и способ их взаимосочетания. Именно эти компоненты (и никакие другие) в полной мере раскрывают содержательную сторону физической нагрузки спортсмена по которым можно определить величину нагрузки.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Рассматривая проблему нагрузки как диалектическое единство внешней и внутренней сторон, для удобства теоретического анализа возможно исследование физической и функциональную нагрузки раздельно. В этом случае можно проанализировать ее составляющие, их взаимосвязь и другие моменты [1]. Во всех же остальных случаях исследовать одну сторону спортивной нагрузки без другой нецелесообразно. Особенно это касается функциональной нагрузки (внутренней стороны). Дело в том, что между внешней и внутренней сторонами спортивной нагрузки существует жесткая причинно-следственная связь. Внешняя сторона — физическая нагрузка — выступает всегда как причина по отношению к нагрузке функциональной. Поэтому изучать следствие, не исследуя саму причину мягко говоря, — неверно, не говоря уже о том, что такое исследование совершенно лишено здравого смысла, так как не приводит к практически значимым выводам. [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8"/>
          <w:shd w:fill="FFFFFF" w:val="clear"/>
        </w:rPr>
        <w:t xml:space="preserve">9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] Так, например, при определенных физиологических, биохимических и прочих исследованиях спортсменов были выявлены достоверные сдвиги в тех или иных системах организма, обнаружилось определенное, даже довольно интересное взаимосочетание (или взаимосодействие) процессов расходования и восстановления "рабочих потенциалов", однако ценность данных исследований ничтожно мала, так как отсутствует достоверная информация о той физической нагрузке, которая была выполнена спортсменом и вследствие чего были получены определенные сдвиги в организме.[4] Что касается самой причины или внешней стороны спортивной нагрузки (а именно нагрузки физической), то если ее исследовать как изолированное явление, в этом случае мы сможем получить определенную информацию о величине физической нагрузки и даже о том, к какому результату это привело. Однако, какие изменения происходили в органах и системах при ее выполнении, остается неизвестным, то есть не ясно, как и за счет чего организм спортсмена справился с физической нагрузкой.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Таким образом, на вопрос, можно ли исследовать каждую из сторон спортивной нагрузки в отдельности, можно ответить только отрицательно. А именно: физическую нагрузку спортсмена невозможно изучать в отдельности от тех сдвигов, которые происходят под ее влиянием в организме, ни тем более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функциональную нагрузку[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4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,5]. </w:t>
      </w:r>
    </w:p>
    <w:p>
      <w:pPr>
        <w:spacing w:before="0" w:after="12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numPr>
          <w:ilvl w:val="0"/>
          <w:numId w:val="75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20" w:hanging="72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Проявление спортивной нагрузки в гандболе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качестве примера исследования мы использовали опубликованные в 2016 году Информационный материалы по гандболу под редакцией Тхорева В.И. Исследованию подвергалась игровая деятельность высококвалифицированных гандболистов на соревнованиях двух уровней: национальном и международном. Для определения средней и максимальной частоты сердечных сокращений (ЧСС) использовалась модель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«Polar S810i».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Величина нагрузки определялась условными единицами, баллами, которые представляют собой произведение времени выполнения на его пульсовую стоимость в минутах. Нагрузка начинала оцениваться с пульса 90 уд/мин.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Полученные результаты (табл.2) свидетельствуют о том, что в формате соревновательного упражнения национального уровня среднее значение ЧСС у линейных игроков колеблется от 143,5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±3,1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уд/мин. Командный показатель равен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160,1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±2,1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уд/мин.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59"/>
        <w:ind w:right="0" w:left="0" w:firstLine="851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Таблица 2</w:t>
      </w:r>
    </w:p>
    <w:tbl>
      <w:tblPr/>
      <w:tblGrid>
        <w:gridCol w:w="2031"/>
        <w:gridCol w:w="817"/>
        <w:gridCol w:w="1648"/>
        <w:gridCol w:w="1337"/>
        <w:gridCol w:w="1500"/>
        <w:gridCol w:w="1442"/>
        <w:gridCol w:w="1432"/>
      </w:tblGrid>
      <w:tr>
        <w:trPr>
          <w:trHeight w:val="1" w:hRule="atLeast"/>
          <w:jc w:val="left"/>
        </w:trPr>
        <w:tc>
          <w:tcPr>
            <w:tcW w:w="20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Показатели</w:t>
            </w:r>
          </w:p>
        </w:tc>
        <w:tc>
          <w:tcPr>
            <w:tcW w:w="6744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Игровые амплуа</w:t>
            </w:r>
          </w:p>
        </w:tc>
        <w:tc>
          <w:tcPr>
            <w:tcW w:w="14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Команда</w:t>
            </w:r>
          </w:p>
        </w:tc>
      </w:tr>
      <w:tr>
        <w:trPr>
          <w:trHeight w:val="1" w:hRule="atLeast"/>
          <w:jc w:val="left"/>
        </w:trPr>
        <w:tc>
          <w:tcPr>
            <w:tcW w:w="20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Уро-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вень</w:t>
            </w: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Крайние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Полу-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средние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Розыг- рывающие</w:t>
            </w:r>
          </w:p>
        </w:tc>
        <w:tc>
          <w:tcPr>
            <w:tcW w:w="1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Линейные</w:t>
            </w:r>
          </w:p>
        </w:tc>
        <w:tc>
          <w:tcPr>
            <w:tcW w:w="14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0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Среднее ЧСС (уд/мин)</w:t>
            </w: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171,9±2,2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165,3±2,0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162,7±1,1</w:t>
            </w:r>
          </w:p>
        </w:tc>
        <w:tc>
          <w:tcPr>
            <w:tcW w:w="1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143,5±3,1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160,1±2,1</w:t>
            </w:r>
          </w:p>
        </w:tc>
      </w:tr>
      <w:tr>
        <w:trPr>
          <w:trHeight w:val="1" w:hRule="atLeast"/>
          <w:jc w:val="left"/>
        </w:trPr>
        <w:tc>
          <w:tcPr>
            <w:tcW w:w="20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175,6±2,4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168,6±1,8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167,4±1,3</w:t>
            </w:r>
          </w:p>
        </w:tc>
        <w:tc>
          <w:tcPr>
            <w:tcW w:w="1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146,7±3,3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164,6±2,2</w:t>
            </w:r>
          </w:p>
        </w:tc>
      </w:tr>
      <w:tr>
        <w:trPr>
          <w:trHeight w:val="1" w:hRule="atLeast"/>
          <w:jc w:val="left"/>
        </w:trPr>
        <w:tc>
          <w:tcPr>
            <w:tcW w:w="20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Энергозатраты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баллы)</w:t>
            </w: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998,2±20,6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705,1±29,0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701,4±8,1</w:t>
            </w:r>
          </w:p>
        </w:tc>
        <w:tc>
          <w:tcPr>
            <w:tcW w:w="1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525,3±16,6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732,5±18,6</w:t>
            </w:r>
          </w:p>
        </w:tc>
      </w:tr>
      <w:tr>
        <w:trPr>
          <w:trHeight w:val="1" w:hRule="atLeast"/>
          <w:jc w:val="left"/>
        </w:trPr>
        <w:tc>
          <w:tcPr>
            <w:tcW w:w="20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1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1097,9±25,0</w:t>
            </w:r>
          </w:p>
        </w:tc>
        <w:tc>
          <w:tcPr>
            <w:tcW w:w="13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29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772,6±23,2</w:t>
            </w:r>
          </w:p>
        </w:tc>
        <w:tc>
          <w:tcPr>
            <w:tcW w:w="15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750,3±12,3</w:t>
            </w:r>
          </w:p>
        </w:tc>
        <w:tc>
          <w:tcPr>
            <w:tcW w:w="1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596,4±10,7</w:t>
            </w:r>
          </w:p>
        </w:tc>
        <w:tc>
          <w:tcPr>
            <w:tcW w:w="14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804,3±17,8</w:t>
            </w:r>
          </w:p>
        </w:tc>
      </w:tr>
    </w:tbl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59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Примечание: 1-национальный, 2-международный.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На соревнованиях международного уровня наблюдается общая для всех гандболистов амплуа тенденция роста среднего значения пульса, который в среднем по команде достигает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164,6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±2,2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уд/мин. Среднее значение ЧСС в процессе игровой деятельности крайних игроков значительно выше, чем у полусредних, разыгрывающих и линейных. Это видно из таблицы как у игроков национального уровня, так и международного. 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Балловая стоимость энергетических затрат в ходе соревновательного упражнения национального уровня находится в диапазоне 525,3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±16,6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 линейных, до 998,2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±20,6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баллов у крайних, составляя в среднем у полевых игроков 732,5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±18,6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баллов. С ростом уровня соревнований наблюдается тенденция роста энергетической стоимости.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рамках данного проведенного исследования обнаружено, что повышение значимости соревнований влечет увеличение интенсивности и величины выполняемой гандболистами нагрузки.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Выводы</w:t>
      </w:r>
    </w:p>
    <w:p>
      <w:p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993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ходе проделанной работы были изучены основные понятия спортивной нагрузки. Определены основные подходы, используемые специалистами при рассмотрении данной проблемы.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 Рассмотрены компоненты спортивной нагрузки, а также необходимость помнить о взаимосвязи этих, компонентов как в структуре самой спортивно или функциональной нагрузки, так и в их взаимодействии между собой. Входе анализа источников литературы было определено, что многочисленные научные исследования без рассмотрения изучаемых компонентов в их взаимосвязи и взаимозависимости в этой сложной системе будут бессмысленны и отодвинут решение данной проблемы еще на многие годы.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auto" w:val="clear"/>
        </w:rPr>
        <w:t xml:space="preserve">Может быть поэтому, несмотря на то, что данная проблема изучается более чем полвека, она до настоящего времени не решена. Сложность решения этой проблемы связана и с тем, что мы изучаем самое сложное творение природы — человека. Причем, в данном случае — человека в спорте высших достижений, то есть находящегося в течение многих лет под постоянным целенаправленным воздействием определенных избирательно воздействующих и значительных по величине физических нагрузок.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8"/>
          <w:shd w:fill="FFFFFF" w:val="clear"/>
        </w:rPr>
        <w:t xml:space="preserve">Поэтому, изучая спортивную нагрузку, нужно всегда помнить о двойственности ее структуры т. е. спортивной и функциональной нагрузках. Двойственный характер спортивной нагрузки не случаен, эта двойственность —двойственность самого человека, где социальное проявление человека всегда тесно связано с биологической его природой.</w:t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Бальсевич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В.К. От высоких информационных технологий — 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победам / В.К. Бальсевич // Теория и практика физ. культуры. — 2000.- № 10.-С. 56.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Ермолаев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Ю.А. Возрастная физиология. /Ю.В. Ермолаев. М.: Спорт Академия Пресс, 2001. - 444 с.</w:t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Железняк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Ю.Д. Спортивные игры: совершенствование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мастерства: учеб. для студ. высш. учеб. заведений / Ю.Д. Железняк, Ю.М.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Портнов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, В.П. Савин и др. М.: Академия, 2002. - 520 с.: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Исаев, А.П. Адаптация человека к спортивной деятельности / А.П. Исаев, С.А.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Личагина, Р.У. Гаттаров и др. // Ростов-на-Дону: Изд-во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РГПУ, 2004. 236 с. </w:t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Исаков, В.Л. Мониторинг физического здоровья учащихся как фактор повышения эффективности предмета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Физическая культура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В.Л. Исаков // Физическая культура: воспитание, образование, тренировка. — 2006. №5. - С. 61.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30373B"/>
          <w:spacing w:val="0"/>
          <w:position w:val="0"/>
          <w:sz w:val="28"/>
          <w:shd w:fill="FFFFFF" w:val="clear"/>
        </w:rPr>
        <w:t xml:space="preserve">Лях В.И. Двигательные способности школьников: основы теории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методики развития. - М.: Терра - Спорт, 2000.</w:t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Матвеев Л.П. Теория и методика физической культуры: Учебник для институтов физической культуры. - М., 1991.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Неминущий Г.П. Дукальская А.В. Функциональная нагрузка: ее сущность, структура, общая характеристика и методология исследования. Ростов-на-Дону, - 1996. С.-25.</w:t>
      </w:r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360"/>
        <w:ind w:right="0" w:left="7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Неминущий Г.П. Дукальская А.В. Спортивная нагрузка как объект теоретического исследования. Ростов-на-Дону, - 1996. – С. 132.</w:t>
      </w: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748" w:leader="none"/>
        </w:tabs>
        <w:spacing w:before="0" w:after="0" w:line="360"/>
        <w:ind w:right="0" w:left="72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</w:pP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 «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Внешние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и 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«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внутренние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показатели нагрузки взаимосвязаны между собой: увеличение объема и интенсивности работы приводит к увеличению сдвигов в функциональном состоянии организма, к развитию и углублению процессов утомления.</w:t>
      </w:r>
      <w:r>
        <w:rPr>
          <w:rFonts w:ascii="Verdana" w:hAnsi="Verdana" w:cs="Verdana" w:eastAsia="Verdana"/>
          <w:color w:val="242C2E"/>
          <w:spacing w:val="0"/>
          <w:position w:val="0"/>
          <w:sz w:val="22"/>
          <w:shd w:fill="FFFFFF" w:val="clear"/>
        </w:rPr>
        <w:t xml:space="preserve"> 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5">
    <w:abstractNumId w:val="24"/>
  </w:num>
  <w:num w:numId="37">
    <w:abstractNumId w:val="18"/>
  </w:num>
  <w:num w:numId="39">
    <w:abstractNumId w:val="12"/>
  </w:num>
  <w:num w:numId="41">
    <w:abstractNumId w:val="6"/>
  </w:num>
  <w:num w:numId="7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